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68" w:rsidRDefault="00535068" w:rsidP="00535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FF5" w:rsidRDefault="008445A6" w:rsidP="00535068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6</w:t>
      </w:r>
      <w:r w:rsidR="00D32FF5" w:rsidRPr="00D32FF5">
        <w:rPr>
          <w:rFonts w:ascii="Times New Roman" w:hAnsi="Times New Roman"/>
          <w:b/>
          <w:bCs/>
          <w:szCs w:val="28"/>
        </w:rPr>
        <w:t xml:space="preserve"> </w:t>
      </w:r>
    </w:p>
    <w:p w:rsidR="00535068" w:rsidRPr="004B2E9F" w:rsidRDefault="00D32FF5" w:rsidP="00535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32">
        <w:rPr>
          <w:rFonts w:ascii="Times New Roman" w:hAnsi="Times New Roman"/>
          <w:b/>
          <w:bCs/>
          <w:szCs w:val="28"/>
        </w:rPr>
        <w:t>Сетевая социально-профессиональная акция СФО "Студент - вожатый РДШ"</w:t>
      </w:r>
    </w:p>
    <w:p w:rsidR="00535068" w:rsidRPr="00C44E60" w:rsidRDefault="00535068" w:rsidP="00535068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Профессиональные компетенции и предпринимательство</w:t>
            </w:r>
          </w:p>
        </w:tc>
      </w:tr>
    </w:tbl>
    <w:p w:rsidR="00535068" w:rsidRPr="00C44E60" w:rsidRDefault="00535068" w:rsidP="00535068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BF3E32">
              <w:rPr>
                <w:rFonts w:ascii="Times New Roman" w:hAnsi="Times New Roman"/>
                <w:b/>
                <w:bCs/>
                <w:szCs w:val="28"/>
              </w:rPr>
              <w:t>Сетевая социально-профессиональная акция СФО "Студент - вожатый РДШ"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Оргкомитет проекта</w:t>
            </w:r>
          </w:p>
        </w:tc>
        <w:tc>
          <w:tcPr>
            <w:tcW w:w="7506" w:type="dxa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Богданова Елена Владимировна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ответственного лица от образовательной организации 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4D1FD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630126 г. Новосибирск, ул. Вилюйская, 28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образовательной организации 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4D1FD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8 (383) </w:t>
            </w:r>
            <w:r w:rsidR="00CC627E">
              <w:rPr>
                <w:rFonts w:ascii="Times New Roman" w:hAnsi="Times New Roman"/>
                <w:b/>
                <w:bCs/>
                <w:szCs w:val="28"/>
              </w:rPr>
              <w:t>2440045;  8 903 905 0920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C627E" w:rsidRDefault="00CC627E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elbogd@mail.ru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535068" w:rsidRPr="00CC627E" w:rsidRDefault="00CC627E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nspu.ru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Адрес официального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сайта (сайта проекта)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535068" w:rsidRPr="00C44E60" w:rsidRDefault="00CC627E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CC627E">
              <w:rPr>
                <w:rFonts w:ascii="Times New Roman" w:hAnsi="Times New Roman"/>
                <w:b/>
                <w:bCs/>
                <w:szCs w:val="28"/>
              </w:rPr>
              <w:t>https://vk.com/cpsv54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:rsidR="00535068" w:rsidRPr="00C44E60" w:rsidRDefault="009F15CC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Сибирский Федеральный округ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 месяцев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01.08</w:t>
            </w:r>
            <w:r w:rsidR="00F46ACC">
              <w:rPr>
                <w:rFonts w:ascii="Times New Roman" w:hAnsi="Times New Roman"/>
                <w:b/>
                <w:bCs/>
                <w:szCs w:val="28"/>
              </w:rPr>
              <w:t>.2018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BF3E3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25</w:t>
            </w:r>
            <w:r w:rsidR="00F46ACC">
              <w:rPr>
                <w:rFonts w:ascii="Times New Roman" w:hAnsi="Times New Roman"/>
                <w:b/>
                <w:bCs/>
                <w:szCs w:val="28"/>
              </w:rPr>
              <w:t>.12.2018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9F15CC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деятельности Российского движения школьников, включенность школьников в различные направления деятельности РДШ во многом зависит от того, кто из взрослых является руководителей площадок деятельности РДШ, от </w:t>
            </w:r>
            <w:proofErr w:type="spellStart"/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 их профессиональных компетенций. Такими руководителями   РДШ нового уровня могут стать студенты старших курсов, прошедшие специальную подготовку по развитию профессиональных компетенций, включающая в себя: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обучение по программам</w:t>
            </w:r>
            <w:proofErr w:type="gramEnd"/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дополнительного профессионального образования «Методика деятельности старшего вожатого РДШ»;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- разработку и реализацию партнерских проектов с региональными отделениями РДШ;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- погружение в деятельность РДШ посредством организации дней единых действий РДШ в регионе.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Проект является партнерским и реализуется совместно: преподавателями ФГБОУ ВО «НГПУ»; студентам, освоившими модульный курс «Методика работы старшего вожатого РДШ» в 2017 – 2018 гг.; магистрантами, обучающимися по направлению подготовки «Психолого-педагогическое сопровождение деятельности детских и молодежных общественных организаций и объединений»  и координаторами РДШ в регионе; старшими вожатыми РДШ, работающими в образовательных организациях.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Результатами реализации проекта будет: 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подготовлено не менее 200 студентов для работы в качестве старших вожатых РДШ в образовательных организациях; 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разработан пакет учебно-методических материалов, которые могут быть использованы для развития профессиональных компетенций старших вожатых РДШ из числа студентов и повышения профессионализма уже работающих руководителей РДШ; </w:t>
            </w:r>
          </w:p>
          <w:p w:rsidR="00BF3E32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- проведена игра «Расскажи об РДШ»  в рамках единых дней Сибирского Федерального округа;</w:t>
            </w:r>
          </w:p>
          <w:p w:rsidR="00535068" w:rsidRPr="009F15CC" w:rsidRDefault="00BF3E32" w:rsidP="00BF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5CC">
              <w:rPr>
                <w:rFonts w:ascii="Times New Roman" w:hAnsi="Times New Roman"/>
                <w:bCs/>
                <w:sz w:val="24"/>
                <w:szCs w:val="24"/>
              </w:rPr>
              <w:t>- сформировано профессиональное сообщество старших вожатых РДШ Сибирского федерального округа.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DE4C02" w:rsidTr="006723DE">
        <w:tc>
          <w:tcPr>
            <w:tcW w:w="2808" w:type="dxa"/>
            <w:shd w:val="clear" w:color="auto" w:fill="C0C0C0"/>
          </w:tcPr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Актуальность проекта для молодёжи</w:t>
            </w: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проекта </w:t>
            </w:r>
            <w:r w:rsidRPr="00DE4C02">
              <w:rPr>
                <w:rFonts w:ascii="Times New Roman" w:hAnsi="Times New Roman"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4C02">
              <w:rPr>
                <w:rFonts w:ascii="Times New Roman" w:hAnsi="Times New Roman"/>
                <w:bCs/>
                <w:i/>
                <w:sz w:val="20"/>
                <w:szCs w:val="20"/>
              </w:rPr>
              <w:t>(не более 1 страницы)</w:t>
            </w:r>
            <w:r w:rsidRPr="00DE4C02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 xml:space="preserve">Для </w:t>
            </w:r>
            <w:proofErr w:type="gramStart"/>
            <w:r w:rsidRPr="00DE4C02">
              <w:rPr>
                <w:rFonts w:ascii="Times New Roman" w:hAnsi="Times New Roman"/>
                <w:bCs/>
                <w:i/>
                <w:sz w:val="20"/>
                <w:szCs w:val="20"/>
              </w:rPr>
              <w:t>бизнес-проекта</w:t>
            </w:r>
            <w:proofErr w:type="gramEnd"/>
            <w:r w:rsidRPr="00DE4C0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535068" w:rsidRPr="00DE4C02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Снижение активности  развития  РДШ в регионах во многом связано с недостатком профессиональных кадров старших вожатых, способных развивать его в образовательных организациях, поддерживать детские активности  на местах, популяризировать в детском, родительском и педагогическим сообществе.</w:t>
            </w:r>
            <w:proofErr w:type="gramEnd"/>
          </w:p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Так, в Новосибирской области в   480 образовательных организациях школьники участвуют в деятельности РДШ на постоянной основе, во всех остальных – такое участие является эпизодическим. </w:t>
            </w:r>
            <w:proofErr w:type="gram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Однако только в 30 % образовательных организаций  есть старшие вожатые - руководители РДШ, при этом большая часть из них – это учителя-предметники, педагоги дополнительного образования, зачастую не имеющие  достаточного представлений о том, при помощи каких технологий и методов можно  включать современных подростков в общественную деятельность, как  создавать условия, позволяющие подросткам участвовать в принятии решений, касающихся их жизни.</w:t>
            </w:r>
            <w:proofErr w:type="gramEnd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 Такая некомпетентность приводит к снижению интереса детей, родителей и педагогов к участию в деятельности РДШ. Аналогичная ситуация  сложилась и в других районах Сибирского федерального округа.</w:t>
            </w:r>
          </w:p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компетентностной</w:t>
            </w:r>
            <w:proofErr w:type="spellEnd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 модели руководителя пилотной площадки РДШ в рамках </w:t>
            </w:r>
            <w:proofErr w:type="spell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форсайт</w:t>
            </w:r>
            <w:proofErr w:type="spellEnd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-сессии на профильной смене Новосибирского регионального отделения РДШ в апреле 2018 показало, что в ряду ключевых профессиональных компетенций, которыми должен обладать современный руководитель РДШ должны быть следующие: цифровые, когнитивные, социальные, коммуникативные, проектные и </w:t>
            </w:r>
            <w:proofErr w:type="spell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медиакомпетенций</w:t>
            </w:r>
            <w:proofErr w:type="spellEnd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. Помимо этого  школьниками – лидерами РДШ отмечалось, что важно, чтобы старшим вожатым – руководителем  площадки РДШ был молодой человек, близкий им по возрасту, мироощущению, понимающий и разделяющий их взгляды, но при этом профессионально компетентным, способным оказать помощь и поддержку. </w:t>
            </w:r>
          </w:p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Таким образом, можно зафиксировать недостаток старших вожатых РДШ, работающих в образовательных организациях </w:t>
            </w:r>
            <w:proofErr w:type="gramStart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 следовательно, есть объективная необходимость развития профессиональных компетенций студентов, особенно старших курсов и включения их в деятельность РДШ в качестве старших вожатых. </w:t>
            </w:r>
          </w:p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 xml:space="preserve">ФГБОУ ВО с 2016 году является  участником рабочей группы представителей 12 педагогических вузов РФ по разработке и апробации пилотной программы «Методика работы старшего вожатого РДШ». Опыт реализации этого курса в течение двух лет показал, что студенты получившие развитие профессиональных </w:t>
            </w: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компетенций в рамках курса в большей степени ориентированы и информированы о деятельности РДШ и готовы к профессиональной деятельности по реализации различных направления РДШ.</w:t>
            </w:r>
          </w:p>
          <w:p w:rsidR="008445A6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С 2018 года ФГБОУ ВО «НГПУ»  является опорным вузом по  подготовке и сопровождению вожатской деятельности в Сибирском федеральном округе, на его базе открыт Региональный центр подготовки и сертификации вожатых НГПУ, что позволяет интегрировать и объединять усилия  подготовки студентов как старших вожатых РДШ.</w:t>
            </w:r>
          </w:p>
          <w:p w:rsidR="00535068" w:rsidRPr="00DE4C02" w:rsidRDefault="008445A6" w:rsidP="00844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Таким образом, ключевая проблема, на решение которой  направлен проект – развитие профессиональных компетенций студентов старших курсов, позволяющих им выступать в качестве старших вожатых РДШ в образовательных организациях Сибирского федерального округа, что будет способствовать развитию РДШ  и гражданской активности подростков и молодежи.</w:t>
            </w:r>
          </w:p>
        </w:tc>
      </w:tr>
    </w:tbl>
    <w:p w:rsidR="00535068" w:rsidRPr="00DE4C02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9D6834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9D683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535068" w:rsidRPr="00AD6605" w:rsidRDefault="00535068" w:rsidP="006723DE">
            <w:pPr>
              <w:pStyle w:val="a4"/>
              <w:tabs>
                <w:tab w:val="left" w:pos="540"/>
              </w:tabs>
              <w:spacing w:after="0" w:line="240" w:lineRule="auto"/>
              <w:ind w:left="0" w:firstLine="53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5068" w:rsidRPr="00C44E60" w:rsidRDefault="00535068" w:rsidP="006723DE">
            <w:pPr>
              <w:spacing w:after="0" w:line="240" w:lineRule="auto"/>
              <w:ind w:firstLine="539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8445A6" w:rsidRPr="00DE4C02" w:rsidRDefault="008445A6" w:rsidP="00DE4C0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Студенты  учреждений высшего профессионального образования Сибирского федерального округа (не менее 200 студентов, не менее 5  вузов)</w:t>
            </w:r>
          </w:p>
          <w:p w:rsidR="008445A6" w:rsidRPr="00DE4C02" w:rsidRDefault="008445A6" w:rsidP="00DE4C0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Координаторы региональных отделений РДШ</w:t>
            </w:r>
          </w:p>
          <w:p w:rsidR="00535068" w:rsidRPr="00F46ACC" w:rsidRDefault="008445A6" w:rsidP="00DE4C0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Руководители образовательных организаций Сибирского федерального округа</w:t>
            </w:r>
            <w:r w:rsidR="00DE4C02" w:rsidRPr="00DE4C02">
              <w:rPr>
                <w:rFonts w:ascii="Times New Roman" w:hAnsi="Times New Roman"/>
                <w:bCs/>
                <w:sz w:val="24"/>
                <w:szCs w:val="24"/>
              </w:rPr>
              <w:t>, реализующие программы и проекты деятельности РДШ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4. Основная цель проекта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DE4C02" w:rsidRDefault="00A62D57" w:rsidP="00F74E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Подготовить студентов старших курсов для деятельности  в качестве вожатых РДШ в образовательных организациях Сибирского федерального округа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5. Задачи проекта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A62D57" w:rsidRPr="00DE4C02" w:rsidRDefault="00A62D57" w:rsidP="00DE4C0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Разработка пакета программно-методических и информационных материалов для развития профессиональных компетенций студентов старших курсов как старших вожатых РДШ</w:t>
            </w:r>
          </w:p>
          <w:p w:rsidR="00A62D57" w:rsidRPr="00DE4C02" w:rsidRDefault="00A62D57" w:rsidP="00DE4C0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Проведение блока мероприятий, обеспечивающих реализацию проекта по основным направлениям: образовательное, внедренческое, проектное</w:t>
            </w:r>
          </w:p>
          <w:p w:rsidR="00A62D57" w:rsidRPr="00DE4C02" w:rsidRDefault="00A62D57" w:rsidP="00DE4C0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Проведение сетевой игры «Расскажи об РДШ» и реализация ее студентами – участниками проекта в рамках дня единых действий в Сибирском Федеральном округе</w:t>
            </w:r>
          </w:p>
          <w:p w:rsidR="00A62D57" w:rsidRPr="00DE4C02" w:rsidRDefault="00A62D57" w:rsidP="00DE4C0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Проведение переговорных партнёрских площадок студентов – участников  проекта и региональных координаторов РДШ по презентации профессиональных портфолио студентов  и заключения соглашений о трудоустройстве студентов.</w:t>
            </w:r>
          </w:p>
          <w:p w:rsidR="00535068" w:rsidRPr="00F74EB0" w:rsidRDefault="00A62D57" w:rsidP="00DE4C0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C02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 реализации проекта в СМИ, на сайтах образовательных организаций, социальных сетях, создание страничка проекта на сайте ФГБОУ ВО «НГПУ»</w:t>
            </w:r>
            <w:r w:rsidRPr="00A62D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35068" w:rsidRPr="00C44E60" w:rsidTr="00F74EB0">
        <w:tc>
          <w:tcPr>
            <w:tcW w:w="10195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6. Методы реализации проекта 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A62D57" w:rsidRPr="00A62D57">
              <w:rPr>
                <w:rFonts w:ascii="Times New Roman" w:hAnsi="Times New Roman"/>
                <w:b/>
                <w:sz w:val="24"/>
                <w:szCs w:val="24"/>
              </w:rPr>
              <w:t>Разработка образовательных продуктов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71C76" w:rsidRPr="00C44E60" w:rsidRDefault="00A62D57" w:rsidP="00B71C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D57">
              <w:rPr>
                <w:rFonts w:ascii="Times New Roman" w:hAnsi="Times New Roman"/>
                <w:sz w:val="24"/>
                <w:szCs w:val="24"/>
              </w:rPr>
              <w:t>Разработка образовательн</w:t>
            </w:r>
            <w:r w:rsidR="00DE4C02">
              <w:rPr>
                <w:rFonts w:ascii="Times New Roman" w:hAnsi="Times New Roman"/>
                <w:sz w:val="24"/>
                <w:szCs w:val="24"/>
              </w:rPr>
              <w:t xml:space="preserve">ого продукта: </w:t>
            </w:r>
            <w:r w:rsidRPr="00A62D57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дополнительного </w:t>
            </w:r>
            <w:r w:rsidRPr="00A62D5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DE4C02">
              <w:rPr>
                <w:rFonts w:ascii="Times New Roman" w:hAnsi="Times New Roman"/>
                <w:sz w:val="24"/>
                <w:szCs w:val="24"/>
              </w:rPr>
              <w:t xml:space="preserve"> «Методика работы вожатого РДШ» для обучения</w:t>
            </w:r>
            <w:r w:rsidR="00B71C76">
              <w:rPr>
                <w:rFonts w:ascii="Times New Roman" w:hAnsi="Times New Roman"/>
                <w:sz w:val="24"/>
                <w:szCs w:val="24"/>
              </w:rPr>
              <w:t xml:space="preserve"> студентов вузов Сибирского федерального округа </w:t>
            </w:r>
            <w:r w:rsidR="00DE4C02">
              <w:rPr>
                <w:rFonts w:ascii="Times New Roman" w:hAnsi="Times New Roman"/>
                <w:sz w:val="24"/>
                <w:szCs w:val="24"/>
              </w:rPr>
              <w:t xml:space="preserve"> в  очном и дистанционном режимах обучения</w:t>
            </w:r>
            <w:r w:rsidR="00191CA7">
              <w:rPr>
                <w:rFonts w:ascii="Times New Roman" w:hAnsi="Times New Roman"/>
                <w:sz w:val="24"/>
                <w:szCs w:val="24"/>
              </w:rPr>
              <w:t xml:space="preserve"> (запись </w:t>
            </w:r>
            <w:proofErr w:type="spellStart"/>
            <w:r w:rsidR="00191CA7"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 w:rsidR="00191CA7">
              <w:rPr>
                <w:rFonts w:ascii="Times New Roman" w:hAnsi="Times New Roman"/>
                <w:sz w:val="24"/>
                <w:szCs w:val="24"/>
              </w:rPr>
              <w:t>, мастер-классов, подготовка мультимедийных презентаций, лекций,  учебно-</w:t>
            </w:r>
            <w:proofErr w:type="spellStart"/>
            <w:r w:rsidR="00191CA7">
              <w:rPr>
                <w:rFonts w:ascii="Times New Roman" w:hAnsi="Times New Roman"/>
                <w:sz w:val="24"/>
                <w:szCs w:val="24"/>
              </w:rPr>
              <w:t>методичнеских</w:t>
            </w:r>
            <w:proofErr w:type="spellEnd"/>
            <w:r w:rsidR="00191CA7">
              <w:rPr>
                <w:rFonts w:ascii="Times New Roman" w:hAnsi="Times New Roman"/>
                <w:sz w:val="24"/>
                <w:szCs w:val="24"/>
              </w:rPr>
              <w:t xml:space="preserve"> рекомендаций)</w:t>
            </w:r>
          </w:p>
        </w:tc>
      </w:tr>
      <w:tr w:rsidR="00B71C76" w:rsidRPr="00C44E60" w:rsidTr="00F74EB0">
        <w:tc>
          <w:tcPr>
            <w:tcW w:w="10195" w:type="dxa"/>
          </w:tcPr>
          <w:p w:rsidR="00B71C76" w:rsidRPr="00B11A61" w:rsidRDefault="00B71C76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 договоров</w:t>
            </w:r>
          </w:p>
        </w:tc>
      </w:tr>
      <w:tr w:rsidR="00B71C76" w:rsidRPr="00C44E60" w:rsidTr="00F74EB0">
        <w:tc>
          <w:tcPr>
            <w:tcW w:w="10195" w:type="dxa"/>
          </w:tcPr>
          <w:p w:rsidR="00B71C76" w:rsidRPr="00C44E60" w:rsidRDefault="00B71C76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71C76" w:rsidRPr="00B11A61" w:rsidRDefault="00B71C76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EB0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с партнерами, поставщиками, подрядчиками, включая услуги по организации проживания, питания, медицинского обслуживания, транспортного обеспечения, организации работы службы безопасности и т.д.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выездного образовательного сбора студентов Сибирского  федерального округа и координаторов РДШ, а также для проведения </w:t>
            </w:r>
            <w:r w:rsidRPr="00B71C76">
              <w:rPr>
                <w:rFonts w:ascii="Times New Roman" w:hAnsi="Times New Roman"/>
                <w:sz w:val="24"/>
                <w:szCs w:val="24"/>
              </w:rPr>
              <w:t>акции «Расскажи об РДШ» и реализация ее студентами – участниками проекта в рамках дня единых де</w:t>
            </w:r>
            <w:r>
              <w:rPr>
                <w:rFonts w:ascii="Times New Roman" w:hAnsi="Times New Roman"/>
                <w:sz w:val="24"/>
                <w:szCs w:val="24"/>
              </w:rPr>
              <w:t>йствий в СФО</w:t>
            </w:r>
            <w:proofErr w:type="gramEnd"/>
          </w:p>
        </w:tc>
      </w:tr>
      <w:tr w:rsidR="00B71C76" w:rsidRPr="00B11A61" w:rsidTr="00F74EB0">
        <w:tc>
          <w:tcPr>
            <w:tcW w:w="10195" w:type="dxa"/>
          </w:tcPr>
          <w:p w:rsidR="00B71C76" w:rsidRPr="00C44E60" w:rsidRDefault="00B71C76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B0D6F">
              <w:rPr>
                <w:rFonts w:ascii="Times New Roman" w:hAnsi="Times New Roman"/>
                <w:b/>
                <w:sz w:val="24"/>
                <w:szCs w:val="24"/>
              </w:rPr>
              <w:t>Изготовление оригинал макетов  и печать полиграфической продукции</w:t>
            </w:r>
          </w:p>
        </w:tc>
      </w:tr>
      <w:tr w:rsidR="00B71C76" w:rsidRPr="00B11A61" w:rsidTr="00F74EB0">
        <w:tc>
          <w:tcPr>
            <w:tcW w:w="10195" w:type="dxa"/>
          </w:tcPr>
          <w:p w:rsidR="00B71C76" w:rsidRPr="00C44E60" w:rsidRDefault="00B71C76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71C76" w:rsidRPr="00C44E60" w:rsidRDefault="00B71C76" w:rsidP="00B71C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печать </w:t>
            </w:r>
            <w:r w:rsidRPr="00DC52E9">
              <w:rPr>
                <w:rFonts w:ascii="Times New Roman" w:hAnsi="Times New Roman"/>
                <w:sz w:val="24"/>
                <w:szCs w:val="24"/>
              </w:rPr>
              <w:t xml:space="preserve">афиш, </w:t>
            </w:r>
            <w:proofErr w:type="spellStart"/>
            <w:r w:rsidRPr="00DC52E9">
              <w:rPr>
                <w:rFonts w:ascii="Times New Roman" w:hAnsi="Times New Roman"/>
                <w:sz w:val="24"/>
                <w:szCs w:val="24"/>
              </w:rPr>
              <w:t>пресволлов</w:t>
            </w:r>
            <w:proofErr w:type="spellEnd"/>
            <w:r w:rsidRPr="00DC52E9">
              <w:rPr>
                <w:rFonts w:ascii="Times New Roman" w:hAnsi="Times New Roman"/>
                <w:sz w:val="24"/>
                <w:szCs w:val="24"/>
              </w:rPr>
              <w:t>, баннеров, рекламных буклетов, знак</w:t>
            </w:r>
            <w:r>
              <w:rPr>
                <w:rFonts w:ascii="Times New Roman" w:hAnsi="Times New Roman"/>
                <w:sz w:val="24"/>
                <w:szCs w:val="24"/>
              </w:rPr>
              <w:t>ов отличий участников проекта.</w:t>
            </w:r>
          </w:p>
        </w:tc>
      </w:tr>
      <w:tr w:rsidR="00B71C76" w:rsidRPr="00B11A61" w:rsidTr="00F74EB0">
        <w:tc>
          <w:tcPr>
            <w:tcW w:w="10195" w:type="dxa"/>
          </w:tcPr>
          <w:p w:rsidR="00B71C76" w:rsidRPr="00B11A61" w:rsidRDefault="00B71C76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>. Информирование целевой аудитории</w:t>
            </w:r>
          </w:p>
        </w:tc>
      </w:tr>
      <w:tr w:rsidR="00B71C76" w:rsidRPr="00B11A61" w:rsidTr="00F74EB0">
        <w:tc>
          <w:tcPr>
            <w:tcW w:w="10195" w:type="dxa"/>
          </w:tcPr>
          <w:p w:rsidR="00B71C76" w:rsidRPr="00C44E60" w:rsidRDefault="00B71C76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71C76" w:rsidRPr="00B11A61" w:rsidRDefault="00B71C76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>Информирования целевой аудитории о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C76" w:rsidRPr="00B11A61" w:rsidTr="00F74EB0">
        <w:tc>
          <w:tcPr>
            <w:tcW w:w="10195" w:type="dxa"/>
          </w:tcPr>
          <w:p w:rsidR="00B71C76" w:rsidRPr="00A45778" w:rsidRDefault="00B71C76" w:rsidP="00DE4C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45778">
              <w:rPr>
                <w:rFonts w:ascii="Times New Roman" w:hAnsi="Times New Roman"/>
                <w:b/>
                <w:sz w:val="24"/>
                <w:szCs w:val="24"/>
              </w:rPr>
              <w:t>. Отбор участников</w:t>
            </w:r>
          </w:p>
        </w:tc>
      </w:tr>
      <w:tr w:rsidR="00B71C76" w:rsidRPr="00A45778" w:rsidTr="00F74EB0">
        <w:tc>
          <w:tcPr>
            <w:tcW w:w="10195" w:type="dxa"/>
          </w:tcPr>
          <w:p w:rsidR="00B71C76" w:rsidRPr="00C44E60" w:rsidRDefault="00B71C76" w:rsidP="00DE4C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71C76" w:rsidRPr="00C44E60" w:rsidRDefault="00B71C76" w:rsidP="00DE4C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>Отбор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– студентов СФО через систему «АИС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B11A61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C52E9">
              <w:rPr>
                <w:rFonts w:ascii="Times New Roman" w:hAnsi="Times New Roman"/>
                <w:b/>
                <w:sz w:val="24"/>
                <w:szCs w:val="24"/>
              </w:rPr>
              <w:t>Формирование учебных групп и организация обучения студентов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11A61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E9">
              <w:rPr>
                <w:rFonts w:ascii="Times New Roman" w:hAnsi="Times New Roman"/>
                <w:sz w:val="24"/>
                <w:szCs w:val="24"/>
              </w:rPr>
              <w:t xml:space="preserve">Формирование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DC52E9">
              <w:rPr>
                <w:rFonts w:ascii="Times New Roman" w:hAnsi="Times New Roman"/>
                <w:sz w:val="24"/>
                <w:szCs w:val="24"/>
              </w:rPr>
              <w:t>обучения студентов</w:t>
            </w:r>
            <w:proofErr w:type="gramEnd"/>
            <w:r w:rsidRPr="00DC52E9">
              <w:rPr>
                <w:rFonts w:ascii="Times New Roman" w:hAnsi="Times New Roman"/>
                <w:sz w:val="24"/>
                <w:szCs w:val="24"/>
              </w:rPr>
              <w:t xml:space="preserve"> по  дополнительной образовательной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Методика работы вожатого РДШ» </w:t>
            </w:r>
            <w:r w:rsidRPr="00DC52E9">
              <w:rPr>
                <w:rFonts w:ascii="Times New Roman" w:hAnsi="Times New Roman"/>
                <w:sz w:val="24"/>
                <w:szCs w:val="24"/>
              </w:rPr>
              <w:t>в очном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2E9">
              <w:rPr>
                <w:rFonts w:ascii="Times New Roman" w:hAnsi="Times New Roman"/>
                <w:sz w:val="24"/>
                <w:szCs w:val="24"/>
              </w:rPr>
              <w:t>и дистанционном  форматах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Pr="00B71C76">
              <w:rPr>
                <w:rFonts w:ascii="Times New Roman" w:hAnsi="Times New Roman"/>
                <w:b/>
                <w:sz w:val="24"/>
                <w:szCs w:val="24"/>
              </w:rPr>
              <w:t>Обучение участников проекта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F74EB0">
              <w:rPr>
                <w:rFonts w:ascii="Times New Roman" w:hAnsi="Times New Roman"/>
                <w:sz w:val="24"/>
                <w:szCs w:val="24"/>
              </w:rPr>
              <w:t>обучения студентов</w:t>
            </w:r>
            <w:proofErr w:type="gramEnd"/>
            <w:r w:rsidRPr="00F74EB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дополнительной образовательной программе «Методика работы вожатого РДШ» 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B11A61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>Разработка Концепции, программы и регламента проведения выездного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сбора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11A61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>Разработка Концепции, программы и регламента проведения выездного инструктивно-методический сбор участников проекта «</w:t>
            </w:r>
            <w:r>
              <w:rPr>
                <w:rFonts w:ascii="Times New Roman" w:hAnsi="Times New Roman"/>
                <w:sz w:val="24"/>
                <w:szCs w:val="24"/>
              </w:rPr>
              <w:t>По пути с РДШ</w:t>
            </w:r>
            <w:r w:rsidRPr="008D17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C52E9">
              <w:rPr>
                <w:rFonts w:ascii="Times New Roman" w:hAnsi="Times New Roman"/>
                <w:b/>
                <w:sz w:val="24"/>
                <w:szCs w:val="24"/>
              </w:rPr>
              <w:t>Организация творческих событий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71C76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76">
              <w:rPr>
                <w:rFonts w:ascii="Times New Roman" w:hAnsi="Times New Roman"/>
                <w:sz w:val="24"/>
                <w:szCs w:val="24"/>
              </w:rPr>
              <w:t>Проведение выездного  образовательного сбора участников проекта «По пути с РДШ»: студентов, координаторов РДШ, представителей образовательных организаций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B11A61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 программы, регламента и механизма реализацию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акции «Расскажи об РДШ» в рамках дня единых действий СФО</w:t>
            </w:r>
          </w:p>
        </w:tc>
      </w:tr>
      <w:tr w:rsidR="00191CA7" w:rsidRPr="00A45778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11A61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>Разработка  программы,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гламента и механизма реализации </w:t>
            </w:r>
            <w:r w:rsidRPr="00191CA7">
              <w:rPr>
                <w:rFonts w:ascii="Times New Roman" w:hAnsi="Times New Roman"/>
                <w:sz w:val="24"/>
                <w:szCs w:val="24"/>
              </w:rPr>
              <w:t>акции «Расскажи об РДШ»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Pr="00191CA7">
              <w:rPr>
                <w:rFonts w:ascii="Times New Roman" w:hAnsi="Times New Roman"/>
                <w:sz w:val="24"/>
                <w:szCs w:val="24"/>
              </w:rPr>
              <w:t>мках дня единых действий СФО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участниками выездного образовательного сбора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A45778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Презентация проектного итога обучения студентов – участников проекта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C44E60" w:rsidRDefault="00191CA7" w:rsidP="00A457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71C76" w:rsidRDefault="00191CA7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7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проекта </w:t>
            </w:r>
            <w:r w:rsidRPr="00B71C76">
              <w:rPr>
                <w:rFonts w:ascii="Times New Roman" w:hAnsi="Times New Roman"/>
                <w:sz w:val="24"/>
                <w:szCs w:val="24"/>
              </w:rPr>
              <w:t>акции «Расскажи об РДШ» и реализация ее студентами – участниками проекта в рамках дня единых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СФО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A45778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A45778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и рассылка пос</w:t>
            </w:r>
            <w:proofErr w:type="gramStart"/>
            <w:r w:rsidRPr="00A45778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A45778">
              <w:rPr>
                <w:rFonts w:ascii="Times New Roman" w:hAnsi="Times New Roman"/>
                <w:b/>
                <w:sz w:val="24"/>
                <w:szCs w:val="24"/>
              </w:rPr>
              <w:t xml:space="preserve"> релизов для СМИ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C44E60" w:rsidRDefault="00191CA7" w:rsidP="00A457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C44E60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>Подготовка и рассылка пос</w:t>
            </w:r>
            <w:proofErr w:type="gramStart"/>
            <w:r w:rsidRPr="00F74EB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F74EB0">
              <w:rPr>
                <w:rFonts w:ascii="Times New Roman" w:hAnsi="Times New Roman"/>
                <w:sz w:val="24"/>
                <w:szCs w:val="24"/>
              </w:rPr>
              <w:t xml:space="preserve"> релизов для СМИ для популяризации боевых искусств в студенческой среде посредством информирования целевой аудитории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проведении акции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«Расскажи об РДШ»</w:t>
            </w:r>
            <w:r w:rsidRPr="00F74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2A246C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Pr="002A24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реализации проекта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C44E60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B11A61" w:rsidRDefault="00191CA7" w:rsidP="007F16E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реализации проекта в СМИ, на сайтах образовательных организаций, социальных сетях, создание странички проекта на сайте ФГБОУ ВО «НГПУ».  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A45778" w:rsidRDefault="00191CA7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45778">
              <w:rPr>
                <w:rFonts w:ascii="Times New Roman" w:hAnsi="Times New Roman"/>
                <w:b/>
                <w:sz w:val="24"/>
                <w:szCs w:val="24"/>
              </w:rPr>
              <w:t>. Подготовка отчета</w:t>
            </w:r>
          </w:p>
        </w:tc>
      </w:tr>
      <w:tr w:rsidR="00191CA7" w:rsidRPr="00B11A61" w:rsidTr="00F74EB0">
        <w:tc>
          <w:tcPr>
            <w:tcW w:w="10195" w:type="dxa"/>
          </w:tcPr>
          <w:p w:rsidR="00191CA7" w:rsidRPr="00C44E60" w:rsidRDefault="00191CA7" w:rsidP="00A457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191CA7" w:rsidRPr="00191CA7" w:rsidRDefault="00191CA7" w:rsidP="00191C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91CA7">
              <w:rPr>
                <w:rFonts w:ascii="Times New Roman" w:hAnsi="Times New Roman" w:cs="Times New Roman"/>
              </w:rPr>
              <w:t xml:space="preserve">Подготовка отчета о проведении </w:t>
            </w:r>
            <w:r w:rsidRPr="00191CA7">
              <w:rPr>
                <w:rFonts w:ascii="Times New Roman" w:hAnsi="Times New Roman" w:cs="Times New Roman"/>
                <w:bCs/>
              </w:rPr>
              <w:t>сетевой социально-профессиональная акции СФО "Студент - вожатый РДШ"</w:t>
            </w:r>
            <w:r w:rsidRPr="00191CA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</w:tbl>
    <w:p w:rsidR="00535068" w:rsidRPr="00D91C14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244"/>
        <w:gridCol w:w="1526"/>
        <w:gridCol w:w="2996"/>
      </w:tblGrid>
      <w:tr w:rsidR="00535068" w:rsidRPr="00C44E60" w:rsidTr="00F03DF8">
        <w:tc>
          <w:tcPr>
            <w:tcW w:w="10421" w:type="dxa"/>
            <w:gridSpan w:val="4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535068" w:rsidRPr="00C44E60" w:rsidTr="00F03DF8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655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дд.мм.гг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299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C3F">
              <w:rPr>
                <w:rFonts w:ascii="Times New Roman" w:hAnsi="Times New Roman" w:cs="Times New Roman"/>
              </w:rPr>
              <w:t xml:space="preserve">Разработка образовательного продукта: образовательной программы дополнительного образования «Методика работы вожатого РДШ» для обучения студентов вузов Сибирского федерального округа  в  очном и дистанционном режимах обучения (запись </w:t>
            </w:r>
            <w:r w:rsidR="00121C3F" w:rsidRPr="00121C3F">
              <w:rPr>
                <w:rFonts w:ascii="Times New Roman" w:hAnsi="Times New Roman" w:cs="Times New Roman"/>
              </w:rPr>
              <w:t>видео лекций</w:t>
            </w:r>
            <w:r w:rsidRPr="00121C3F">
              <w:rPr>
                <w:rFonts w:ascii="Times New Roman" w:hAnsi="Times New Roman" w:cs="Times New Roman"/>
              </w:rPr>
              <w:t>, мастер-классов, подготовка мультимедийных презентаций, лекций,  учебно-</w:t>
            </w:r>
            <w:r w:rsidR="00121C3F" w:rsidRPr="00121C3F">
              <w:rPr>
                <w:rFonts w:ascii="Times New Roman" w:hAnsi="Times New Roman" w:cs="Times New Roman"/>
              </w:rPr>
              <w:t>методических</w:t>
            </w:r>
            <w:r w:rsidRPr="00121C3F">
              <w:rPr>
                <w:rFonts w:ascii="Times New Roman" w:hAnsi="Times New Roman" w:cs="Times New Roman"/>
              </w:rPr>
              <w:t xml:space="preserve"> рекомендаций)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Август-сентябрь 2018</w:t>
            </w:r>
          </w:p>
        </w:tc>
        <w:tc>
          <w:tcPr>
            <w:tcW w:w="2996" w:type="dxa"/>
          </w:tcPr>
          <w:p w:rsidR="00191CA7" w:rsidRPr="00121C3F" w:rsidRDefault="0054534D" w:rsidP="005453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1 программа дополнительного профессионального образования с комплектом учебно-методических материалов, готовая для </w:t>
            </w: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как для обучения студентов, так и для повышения квалификации педагогов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C3F">
              <w:rPr>
                <w:rFonts w:ascii="Times New Roman" w:hAnsi="Times New Roman" w:cs="Times New Roman"/>
              </w:rPr>
              <w:t>Заключение договоров с партнерами, поставщиками, подрядчиками, включая услуги по организации проживания, питания, медицинского обслуживания, транспортного обеспечения, организации работы службы безопасности и т.д. для проведения выездного образовательного сбора студентов Сибирского  федерального округа и координаторов РДШ, а также для проведения акции «Расскажи об РДШ» и реализация ее студентами – участниками проекта в рамках дня единых действий в СФО</w:t>
            </w:r>
            <w:proofErr w:type="gram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Август-сентябрь 2018 </w:t>
            </w:r>
          </w:p>
        </w:tc>
        <w:tc>
          <w:tcPr>
            <w:tcW w:w="2996" w:type="dxa"/>
          </w:tcPr>
          <w:p w:rsidR="00191CA7" w:rsidRPr="00121C3F" w:rsidRDefault="00191CA7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Достигнуты договоренности с вузами и учреждениями СПО – участниками проекта, координат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о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р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ами РДШ СФО и образовательными ор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г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низациями, реализующими проекты и программы РДШ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 xml:space="preserve">Изготовление </w:t>
            </w:r>
            <w:r w:rsidR="00F03DF8" w:rsidRPr="00121C3F">
              <w:rPr>
                <w:rFonts w:ascii="Times New Roman" w:hAnsi="Times New Roman" w:cs="Times New Roman"/>
              </w:rPr>
              <w:t>бренд-бука проекта, п</w:t>
            </w:r>
            <w:r w:rsidRPr="00121C3F">
              <w:rPr>
                <w:rFonts w:ascii="Times New Roman" w:hAnsi="Times New Roman" w:cs="Times New Roman"/>
              </w:rPr>
              <w:t>ечать афиш, пресволлов, баннеров, рекламных буклетов, знаков отличий участников проекта.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F8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Август-сентябрь</w:t>
            </w:r>
          </w:p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2018</w:t>
            </w:r>
          </w:p>
        </w:tc>
        <w:tc>
          <w:tcPr>
            <w:tcW w:w="2996" w:type="dxa"/>
          </w:tcPr>
          <w:p w:rsidR="00191CA7" w:rsidRPr="00121C3F" w:rsidRDefault="00F03DF8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Разработан фирменный стиль проекта, сформирован-бренд бук, напечатана информационно-рекламная продукция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>Информирования целевой аудитории о реализации проекта.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Август-сентябрь 2018</w:t>
            </w:r>
          </w:p>
        </w:tc>
        <w:tc>
          <w:tcPr>
            <w:tcW w:w="2996" w:type="dxa"/>
          </w:tcPr>
          <w:p w:rsidR="00191CA7" w:rsidRPr="00121C3F" w:rsidRDefault="00121C3F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О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 проекте проинформированы вузы и учреждения СПО СФО – участники федерального проекта «Всероссийская школа вожатых»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21C3F">
              <w:rPr>
                <w:rFonts w:ascii="Times New Roman" w:hAnsi="Times New Roman" w:cs="Times New Roman"/>
              </w:rPr>
              <w:t xml:space="preserve">Отбор участников проекта – студентов СФО через систему «АИС Росмолодежь»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Сентябрь 2018</w:t>
            </w:r>
          </w:p>
        </w:tc>
        <w:tc>
          <w:tcPr>
            <w:tcW w:w="2996" w:type="dxa"/>
          </w:tcPr>
          <w:p w:rsidR="00191CA7" w:rsidRPr="00121C3F" w:rsidRDefault="00121C3F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Разработаны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критерии отбора 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участников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проекта, отобраны и привлечены эксперты для отбора участников проекта, проведена 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регистрация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участников проекта через 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систему</w:t>
            </w:r>
            <w:r w:rsidR="00F03DF8"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«АИСРОСМОЛОДЕЖЬ»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 xml:space="preserve">Формирование учебных групп для </w:t>
            </w:r>
            <w:proofErr w:type="gramStart"/>
            <w:r w:rsidRPr="00121C3F">
              <w:rPr>
                <w:rFonts w:ascii="Times New Roman" w:hAnsi="Times New Roman" w:cs="Times New Roman"/>
              </w:rPr>
              <w:t>обучения студентов</w:t>
            </w:r>
            <w:proofErr w:type="gramEnd"/>
            <w:r w:rsidRPr="00121C3F">
              <w:rPr>
                <w:rFonts w:ascii="Times New Roman" w:hAnsi="Times New Roman" w:cs="Times New Roman"/>
              </w:rPr>
              <w:t xml:space="preserve"> по  дополнительной образовательной программе «Методика работы вожатого РДШ» в очном и дистанционном  форматах обучения.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Сентябрь 2018</w:t>
            </w:r>
          </w:p>
        </w:tc>
        <w:tc>
          <w:tcPr>
            <w:tcW w:w="2996" w:type="dxa"/>
          </w:tcPr>
          <w:p w:rsidR="00191CA7" w:rsidRPr="00121C3F" w:rsidRDefault="00121C3F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Отобраны 100 участников из числа студентов СФО,  определены учебные группы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21C3F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121C3F">
              <w:rPr>
                <w:rFonts w:ascii="Times New Roman" w:hAnsi="Times New Roman" w:cs="Times New Roman"/>
              </w:rPr>
              <w:t>обучения студентов</w:t>
            </w:r>
            <w:proofErr w:type="gramEnd"/>
            <w:r w:rsidRPr="00121C3F">
              <w:rPr>
                <w:rFonts w:ascii="Times New Roman" w:hAnsi="Times New Roman" w:cs="Times New Roman"/>
              </w:rPr>
              <w:t xml:space="preserve"> по дополнительной образовательной программе «Методика работы вожатого РДШ»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Октябр</w:t>
            </w:r>
            <w:proofErr w:type="gramStart"/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ь-</w:t>
            </w:r>
            <w:proofErr w:type="gramEnd"/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 декабрь 2018 года</w:t>
            </w:r>
          </w:p>
        </w:tc>
        <w:tc>
          <w:tcPr>
            <w:tcW w:w="2996" w:type="dxa"/>
          </w:tcPr>
          <w:p w:rsidR="00191CA7" w:rsidRPr="00121C3F" w:rsidRDefault="00F03DF8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Осуществлено обучение </w:t>
            </w:r>
            <w:r w:rsidR="0054534D">
              <w:rPr>
                <w:rFonts w:ascii="Times New Roman" w:eastAsia="Times New Roman" w:hAnsi="Times New Roman" w:cs="Times New Roman"/>
                <w:bCs/>
                <w:u w:color="000000"/>
              </w:rPr>
              <w:t>15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0 студентов СФО по</w:t>
            </w:r>
            <w:r w:rsidRPr="00121C3F">
              <w:rPr>
                <w:rFonts w:ascii="Times New Roman" w:hAnsi="Times New Roman" w:cs="Times New Roman"/>
              </w:rPr>
              <w:t xml:space="preserve"> дополнительной образовательной программе «Методика работы вожатого РДШ» в очном и дистанционном режимах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 xml:space="preserve">Разработка Концепции, программы и регламента проведения выездного </w:t>
            </w:r>
            <w:r w:rsidR="00EE5983">
              <w:rPr>
                <w:rFonts w:ascii="Times New Roman" w:hAnsi="Times New Roman" w:cs="Times New Roman"/>
              </w:rPr>
              <w:t xml:space="preserve">образовательного </w:t>
            </w:r>
            <w:r w:rsidRPr="00121C3F">
              <w:rPr>
                <w:rFonts w:ascii="Times New Roman" w:hAnsi="Times New Roman" w:cs="Times New Roman"/>
              </w:rPr>
              <w:t>сбора</w:t>
            </w:r>
            <w:r w:rsidR="00EE5983">
              <w:rPr>
                <w:rFonts w:ascii="Times New Roman" w:hAnsi="Times New Roman" w:cs="Times New Roman"/>
              </w:rPr>
              <w:t xml:space="preserve"> </w:t>
            </w:r>
            <w:r w:rsidR="00EE5983" w:rsidRPr="00121C3F">
              <w:rPr>
                <w:rFonts w:ascii="Times New Roman" w:hAnsi="Times New Roman" w:cs="Times New Roman"/>
              </w:rPr>
              <w:t>«По пути с РДШ».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21C3F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Сентябрь </w:t>
            </w:r>
            <w:r w:rsidR="00EE5983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– октябрь </w:t>
            </w: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2018</w:t>
            </w:r>
          </w:p>
        </w:tc>
        <w:tc>
          <w:tcPr>
            <w:tcW w:w="2996" w:type="dxa"/>
          </w:tcPr>
          <w:p w:rsidR="00191CA7" w:rsidRPr="00121C3F" w:rsidRDefault="0054534D" w:rsidP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Разработана</w:t>
            </w:r>
            <w:proofErr w:type="gramEnd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1C3F">
              <w:rPr>
                <w:rFonts w:ascii="Times New Roman" w:hAnsi="Times New Roman" w:cs="Times New Roman"/>
              </w:rPr>
              <w:t>Концепции, программы и регламента проведения выездного сбора</w:t>
            </w: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>Проведение выездного  образовательного сбора участников проекта «По пути с РДШ»: студентов, координаторов РДШ, представителей образовательных организаций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21C3F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Ноябрь 2018</w:t>
            </w:r>
          </w:p>
        </w:tc>
        <w:tc>
          <w:tcPr>
            <w:tcW w:w="2996" w:type="dxa"/>
          </w:tcPr>
          <w:p w:rsidR="00191CA7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534D">
              <w:rPr>
                <w:rFonts w:ascii="Times New Roman" w:hAnsi="Times New Roman"/>
                <w:bCs/>
              </w:rPr>
              <w:t xml:space="preserve">Проведен </w:t>
            </w:r>
            <w:r w:rsidRPr="0054534D">
              <w:rPr>
                <w:rFonts w:ascii="Times New Roman" w:hAnsi="Times New Roman"/>
              </w:rPr>
              <w:t xml:space="preserve">выездного  образовательного сбора участников проекта «По пути с РДШ» в котором примут участие: </w:t>
            </w: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5 вузов СФО; не менее 150 студентов старших курсов;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е менее 40 партнеров, в том числе руководителей образовательных организаций, заинтересованных  в развитии РДШ в своём учреждений</w:t>
            </w:r>
            <w:proofErr w:type="gramEnd"/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>Разработка  программы, регламента и механизма реализации акции «Расскажи об РДШ» в рамках дня единых действий СФО участниками выездного образовательного сбора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21C3F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Ноябрь 2018 </w:t>
            </w:r>
          </w:p>
        </w:tc>
        <w:tc>
          <w:tcPr>
            <w:tcW w:w="2996" w:type="dxa"/>
          </w:tcPr>
          <w:p w:rsidR="00191CA7" w:rsidRPr="00121C3F" w:rsidRDefault="0054534D" w:rsidP="0054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Разработана </w:t>
            </w:r>
            <w:r w:rsidRPr="00121C3F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121C3F">
              <w:rPr>
                <w:rFonts w:ascii="Times New Roman" w:hAnsi="Times New Roman" w:cs="Times New Roman"/>
              </w:rPr>
              <w:t>, регламент и механизм реализации акции «Расскажи об РДШ» в рамках дня единых действий СФО участниками выездного образовательного сбора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>Разработка участниками проекта акции «Расскажи об РДШ» и реализация ее студентами – участниками проекта в рамках дня единых действий в образовательных организациях СФО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Ноябрь 2018</w:t>
            </w:r>
          </w:p>
        </w:tc>
        <w:tc>
          <w:tcPr>
            <w:tcW w:w="2996" w:type="dxa"/>
          </w:tcPr>
          <w:p w:rsidR="0054534D" w:rsidRPr="0054534D" w:rsidRDefault="0054534D" w:rsidP="005453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акция «Расскажи о РДШ" в рамках дня единых действий в Сибирском федеральном округу, в которой примут участие: не менее 150 студентов, участников проекта; не менее 100 образовательных организаций Сибирского федерального округа; не менее 3000 школьников примут участие в акции; не менее 1000 родителей примут участие в акции; не менее  300 педагогов примут участие в акции. </w:t>
            </w:r>
            <w:proofErr w:type="gramEnd"/>
          </w:p>
          <w:p w:rsidR="00191CA7" w:rsidRPr="00121C3F" w:rsidRDefault="00191CA7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21C3F">
              <w:rPr>
                <w:rFonts w:ascii="Times New Roman" w:hAnsi="Times New Roman" w:cs="Times New Roman"/>
              </w:rPr>
              <w:t>Подготовка и рассылка пос</w:t>
            </w:r>
            <w:proofErr w:type="gramStart"/>
            <w:r w:rsidRPr="00121C3F">
              <w:rPr>
                <w:rFonts w:ascii="Times New Roman" w:hAnsi="Times New Roman" w:cs="Times New Roman"/>
              </w:rPr>
              <w:t>т-</w:t>
            </w:r>
            <w:proofErr w:type="gramEnd"/>
            <w:r w:rsidRPr="00121C3F">
              <w:rPr>
                <w:rFonts w:ascii="Times New Roman" w:hAnsi="Times New Roman" w:cs="Times New Roman"/>
              </w:rPr>
              <w:t xml:space="preserve"> релизов для СМИ</w:t>
            </w:r>
            <w:r w:rsidR="00F03DF8" w:rsidRPr="00121C3F">
              <w:rPr>
                <w:rFonts w:ascii="Times New Roman" w:hAnsi="Times New Roman" w:cs="Times New Roman"/>
              </w:rPr>
              <w:t xml:space="preserve"> о проведении акции «Расскажи о РДШ» в СФО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Ноябрь 2018</w:t>
            </w:r>
          </w:p>
        </w:tc>
        <w:tc>
          <w:tcPr>
            <w:tcW w:w="2996" w:type="dxa"/>
          </w:tcPr>
          <w:p w:rsidR="00191CA7" w:rsidRPr="00121C3F" w:rsidRDefault="00191CA7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</w:p>
        </w:tc>
      </w:tr>
      <w:tr w:rsidR="00F03DF8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F03DF8" w:rsidRPr="00AD6605" w:rsidRDefault="00F03DF8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F8" w:rsidRPr="00121C3F" w:rsidRDefault="00F03DF8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 xml:space="preserve">Подготовка и вручение </w:t>
            </w:r>
            <w:r w:rsidR="00121C3F" w:rsidRPr="00121C3F">
              <w:rPr>
                <w:rFonts w:ascii="Times New Roman" w:hAnsi="Times New Roman" w:cs="Times New Roman"/>
              </w:rPr>
              <w:t>сертификатов</w:t>
            </w:r>
            <w:r w:rsidRPr="00121C3F">
              <w:rPr>
                <w:rFonts w:ascii="Times New Roman" w:hAnsi="Times New Roman" w:cs="Times New Roman"/>
              </w:rPr>
              <w:t xml:space="preserve"> участникам проекта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F8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Декабрь 2018</w:t>
            </w:r>
          </w:p>
        </w:tc>
        <w:tc>
          <w:tcPr>
            <w:tcW w:w="2996" w:type="dxa"/>
          </w:tcPr>
          <w:p w:rsidR="00F03DF8" w:rsidRPr="00121C3F" w:rsidRDefault="0054534D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u w:color="000000"/>
              </w:rPr>
              <w:t>Вручено 150 сертификатов – студентам – участникам проекта об освоении  программы дополнительного образования «Методика работы вожатого РДШ»</w:t>
            </w: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C3F">
              <w:rPr>
                <w:rFonts w:ascii="Times New Roman" w:hAnsi="Times New Roman" w:cs="Times New Roman"/>
              </w:rPr>
              <w:t xml:space="preserve">Информационное сопровождение реализации проекта в СМИ, на сайтах образовательных организаций, социальных сетях, создание странички проекта на сайте ФГБОУ ВО «НГПУ». 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>Август-декабрь 2018</w:t>
            </w:r>
          </w:p>
        </w:tc>
        <w:tc>
          <w:tcPr>
            <w:tcW w:w="2996" w:type="dxa"/>
          </w:tcPr>
          <w:p w:rsidR="0054534D" w:rsidRPr="0054534D" w:rsidRDefault="0054534D" w:rsidP="005453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Опубликовано не менее 30  постов в СМИ, освещающих  реализацию проекта</w:t>
            </w:r>
          </w:p>
          <w:p w:rsidR="00191CA7" w:rsidRPr="00121C3F" w:rsidRDefault="00191CA7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</w:p>
        </w:tc>
      </w:tr>
      <w:tr w:rsidR="00191CA7" w:rsidRPr="00C44E60" w:rsidTr="00F03DF8">
        <w:tblPrEx>
          <w:tblLook w:val="0000" w:firstRow="0" w:lastRow="0" w:firstColumn="0" w:lastColumn="0" w:noHBand="0" w:noVBand="0"/>
        </w:tblPrEx>
        <w:tc>
          <w:tcPr>
            <w:tcW w:w="655" w:type="dxa"/>
          </w:tcPr>
          <w:p w:rsidR="00191CA7" w:rsidRPr="00AD6605" w:rsidRDefault="00191CA7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191CA7" w:rsidP="00F03D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21C3F">
              <w:rPr>
                <w:rFonts w:ascii="Times New Roman" w:hAnsi="Times New Roman" w:cs="Times New Roman"/>
              </w:rPr>
              <w:t xml:space="preserve">Подготовка отчета о проведении </w:t>
            </w:r>
            <w:r w:rsidRPr="00121C3F">
              <w:rPr>
                <w:rFonts w:ascii="Times New Roman" w:hAnsi="Times New Roman" w:cs="Times New Roman"/>
                <w:bCs/>
              </w:rPr>
              <w:t>сетевой социально-профессиональная акции СФО "Студент - вожатый РДШ"</w:t>
            </w:r>
            <w:r w:rsidRPr="00121C3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A7" w:rsidRPr="00121C3F" w:rsidRDefault="00F03DF8" w:rsidP="00F03DF8">
            <w:pPr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121C3F">
              <w:rPr>
                <w:rFonts w:ascii="Times New Roman" w:eastAsia="Times New Roman" w:hAnsi="Times New Roman" w:cs="Times New Roman"/>
                <w:bCs/>
                <w:u w:color="000000"/>
              </w:rPr>
              <w:t xml:space="preserve">Декабрь 2018 </w:t>
            </w:r>
          </w:p>
        </w:tc>
        <w:tc>
          <w:tcPr>
            <w:tcW w:w="2996" w:type="dxa"/>
          </w:tcPr>
          <w:p w:rsidR="00191CA7" w:rsidRPr="00121C3F" w:rsidRDefault="0054534D" w:rsidP="00F0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u w:color="000000"/>
              </w:rPr>
              <w:t>Подготовлен аналитический и финансовый отчет о проведении проекта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10314" w:type="dxa"/>
            <w:gridSpan w:val="2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535068" w:rsidRPr="00A3700B" w:rsidRDefault="00535068" w:rsidP="00A3700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и в мероприятия</w:t>
            </w:r>
            <w:r w:rsidR="00A3700B">
              <w:rPr>
                <w:rFonts w:ascii="Times New Roman" w:hAnsi="Times New Roman"/>
                <w:i/>
                <w:sz w:val="20"/>
                <w:szCs w:val="20"/>
              </w:rPr>
              <w:t xml:space="preserve"> проекта)</w:t>
            </w:r>
          </w:p>
        </w:tc>
        <w:tc>
          <w:tcPr>
            <w:tcW w:w="7506" w:type="dxa"/>
          </w:tcPr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Не менее 5 вузов Сибирского федерального округа примут участие в проекте</w:t>
            </w:r>
          </w:p>
          <w:p w:rsidR="0054534D" w:rsidRPr="0054534D" w:rsidRDefault="005C2FEA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180</w:t>
            </w:r>
            <w:r w:rsidR="0054534D"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студентов старших курсов из разных вузов Сибирского Федерального округа станут  участниками проекта 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Не менее 40 партнеров, в том числе руководителей образовательных организаций, заинтересованных  в развитии РДШ в своём учреждений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Не менее 30 договоров заключено на трудоустройство студентов в качестве старших вожатых РДШ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акция «Расскажи о РДШ" в рамках дня единых действий в Сибирском федеральном округу, в которой примут участие: не менее 150 студентов, участников проекта; не менее 100 образовательных организаций Сибирского федерального округа; не менее 3000 школьников примут участие в акции; не менее 1000 родителей примут участие в акции; не менее  300 педагогов примут участие в акции. </w:t>
            </w:r>
            <w:proofErr w:type="gramEnd"/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Не менее 100 студентов младших курсов захотят стать участниками этого проекта  в следующем сезоне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1 программа дополнительного профессионального образования с комплектом учебно-методических материалов, готовая для </w:t>
            </w: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как для обучения студентов, так и для повышения квалификации педагогов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Создан 1 образовательный электронный курс «Методика работы старшего вожатого в РДШ»  как  дистанционная программа дополнительного профессионального образования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Опубликовано не менее 30  постов в СМИ, освещающих  реализацию проекта</w:t>
            </w:r>
          </w:p>
          <w:p w:rsidR="00535068" w:rsidRPr="0054534D" w:rsidRDefault="0054534D" w:rsidP="0054534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Разработана программа и  методическое  сопровождение акции «Расскажи об РДШ»  в рамках единых дней Сибирского Федерального округа</w:t>
            </w:r>
          </w:p>
        </w:tc>
      </w:tr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(указать подробно 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качественные изменения)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Сформирована мотивационная  и профессиональная готовность студентов старших курсов к профессиональной деятельности в </w:t>
            </w: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вожатых РДШ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Созданы ресурсы для трудоустройства студентов в  образовательные организации в рамках деятельности РДШ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 пакет программно-методических материалов может быть использованы для развития профессиональных </w:t>
            </w:r>
            <w:proofErr w:type="gram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компетенций</w:t>
            </w:r>
            <w:proofErr w:type="gramEnd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как студентов, так и действующих старших вожатых РДШ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программа, </w:t>
            </w:r>
            <w:proofErr w:type="spellStart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медийное</w:t>
            </w:r>
            <w:proofErr w:type="spellEnd"/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 и  методическое  сопровождение акции «Расскажи об РДШ», апробированное в Сибирском федеральном округе 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Сформировано профессиональное сообщества старших вожатых РДШ Сибирского федерального округа как пространство обмена опытом студентов - старших вожатых РДШ Сибирского федерального округа </w:t>
            </w:r>
          </w:p>
          <w:p w:rsidR="0054534D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Укреплены партнерские отношения между образовательными организациями основного, дополнительного и высшего образования в рамках подготовки старших вожатых РДШ </w:t>
            </w:r>
          </w:p>
          <w:p w:rsidR="00535068" w:rsidRPr="0054534D" w:rsidRDefault="0054534D" w:rsidP="0054534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Налажен механизм взаимодействия координаторов РДШ и образовательных организаций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35068" w:rsidRPr="00C44E60" w:rsidTr="006723DE">
        <w:tc>
          <w:tcPr>
            <w:tcW w:w="10314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Мультипликативность</w:t>
            </w:r>
            <w:proofErr w:type="spellEnd"/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535068" w:rsidRPr="00C44E60" w:rsidTr="006723DE">
        <w:tc>
          <w:tcPr>
            <w:tcW w:w="10314" w:type="dxa"/>
          </w:tcPr>
          <w:p w:rsidR="0054534D" w:rsidRPr="0054534D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 реализации проекта могут быть </w:t>
            </w:r>
            <w:proofErr w:type="gramStart"/>
            <w:r w:rsidRPr="0054534D">
              <w:rPr>
                <w:rFonts w:ascii="Times New Roman" w:hAnsi="Times New Roman"/>
                <w:sz w:val="24"/>
                <w:szCs w:val="24"/>
              </w:rPr>
              <w:t>пролонгировано</w:t>
            </w:r>
            <w:proofErr w:type="gramEnd"/>
            <w:r w:rsidRPr="0054534D">
              <w:rPr>
                <w:rFonts w:ascii="Times New Roman" w:hAnsi="Times New Roman"/>
                <w:sz w:val="24"/>
                <w:szCs w:val="24"/>
              </w:rPr>
              <w:t xml:space="preserve"> использованы для:</w:t>
            </w:r>
          </w:p>
          <w:p w:rsidR="0054534D" w:rsidRPr="0054534D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>1. продолжения реализации проекта в Сибирском федеральном округе в следующем году</w:t>
            </w:r>
          </w:p>
          <w:p w:rsidR="0054534D" w:rsidRPr="0054534D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 xml:space="preserve">2. трансляции опыта реализации проекта и разработанных материалов в другие регионы, имеющие </w:t>
            </w:r>
            <w:proofErr w:type="gramStart"/>
            <w:r w:rsidRPr="0054534D">
              <w:rPr>
                <w:rFonts w:ascii="Times New Roman" w:hAnsi="Times New Roman"/>
                <w:sz w:val="24"/>
                <w:szCs w:val="24"/>
              </w:rPr>
              <w:t>аналогичные проблемы</w:t>
            </w:r>
            <w:proofErr w:type="gramEnd"/>
            <w:r w:rsidRPr="0054534D">
              <w:rPr>
                <w:rFonts w:ascii="Times New Roman" w:hAnsi="Times New Roman"/>
                <w:sz w:val="24"/>
                <w:szCs w:val="24"/>
              </w:rPr>
              <w:t xml:space="preserve"> для их решения</w:t>
            </w:r>
          </w:p>
          <w:p w:rsidR="0054534D" w:rsidRPr="0054534D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>3. наработанные материалы могу стать прообразом модели партнёрского взаимодействия образовательных организаций разного уровня и РДШ</w:t>
            </w:r>
          </w:p>
          <w:p w:rsidR="0054534D" w:rsidRPr="0054534D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>4. созданные электронный ресурс и  программа дополнительного профессионального образования «Методика работы старшего вожатого РДШ»  будет доступна для дистанционного обучения желающих помимо участников проекта на возмездной основе</w:t>
            </w:r>
          </w:p>
          <w:p w:rsidR="00535068" w:rsidRPr="00C44E60" w:rsidRDefault="0054534D" w:rsidP="0054534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34D">
              <w:rPr>
                <w:rFonts w:ascii="Times New Roman" w:hAnsi="Times New Roman"/>
                <w:sz w:val="24"/>
                <w:szCs w:val="24"/>
              </w:rPr>
              <w:t>5. созданная страничка проекта на сайте ФГБОУ ВО «НГПУ»  может быть использована как партнерский ресурс  для развития профессиональных компетенций студентов старших курсов как вожатых РДШ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5176"/>
        <w:gridCol w:w="5179"/>
      </w:tblGrid>
      <w:tr w:rsidR="00535068" w:rsidRPr="00297BEF" w:rsidTr="009E20FA">
        <w:trPr>
          <w:trHeight w:val="2414"/>
        </w:trPr>
        <w:tc>
          <w:tcPr>
            <w:tcW w:w="5176" w:type="dxa"/>
            <w:shd w:val="clear" w:color="auto" w:fill="auto"/>
          </w:tcPr>
          <w:p w:rsidR="00535068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проекта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>_______________/___________________</w:t>
            </w: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 xml:space="preserve">            подпись                  ФИО</w:t>
            </w:r>
          </w:p>
        </w:tc>
        <w:tc>
          <w:tcPr>
            <w:tcW w:w="5179" w:type="dxa"/>
            <w:shd w:val="clear" w:color="auto" w:fill="auto"/>
          </w:tcPr>
          <w:p w:rsidR="00535068" w:rsidRPr="00297BEF" w:rsidRDefault="00535068" w:rsidP="006723DE">
            <w:pPr>
              <w:tabs>
                <w:tab w:val="left" w:pos="540"/>
              </w:tabs>
              <w:rPr>
                <w:rFonts w:ascii="Times New Roman" w:hAnsi="Times New Roman"/>
                <w:b/>
                <w:szCs w:val="28"/>
              </w:rPr>
            </w:pP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образовательной организации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>_______________/___________________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 xml:space="preserve">            подпись                  ФИО</w:t>
            </w:r>
          </w:p>
        </w:tc>
      </w:tr>
    </w:tbl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ind w:firstLine="54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35068" w:rsidRPr="00552501" w:rsidRDefault="00535068" w:rsidP="00535068">
      <w:pPr>
        <w:pStyle w:val="ConsPlusNormal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" w:name="P915"/>
      <w:bookmarkEnd w:id="1"/>
      <w:r w:rsidRPr="009D6834">
        <w:rPr>
          <w:rStyle w:val="a3"/>
          <w:rFonts w:ascii="Times New Roman" w:hAnsi="Times New Roman"/>
          <w:b/>
          <w:sz w:val="28"/>
          <w:szCs w:val="28"/>
        </w:rPr>
        <w:t>ПОКАЗАТЕЛИ РЕЗУЛЬТАТИВНОС</w:t>
      </w:r>
      <w:r>
        <w:rPr>
          <w:rStyle w:val="a3"/>
          <w:rFonts w:ascii="Times New Roman" w:hAnsi="Times New Roman"/>
          <w:b/>
          <w:sz w:val="28"/>
          <w:szCs w:val="28"/>
        </w:rPr>
        <w:t>ТИ ПРЕДОСТАВЛЕНИЯ ГРАНТА</w:t>
      </w:r>
    </w:p>
    <w:p w:rsidR="00535068" w:rsidRDefault="00535068" w:rsidP="00535068">
      <w:pPr>
        <w:pStyle w:val="ConsPlusNormal"/>
        <w:ind w:firstLine="54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9"/>
        <w:gridCol w:w="1559"/>
        <w:gridCol w:w="2126"/>
        <w:gridCol w:w="2835"/>
      </w:tblGrid>
      <w:tr w:rsidR="00535068" w:rsidRPr="009D6834" w:rsidTr="006723DE">
        <w:trPr>
          <w:trHeight w:val="20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535068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068" w:rsidRPr="009D6834" w:rsidTr="006723DE">
        <w:trPr>
          <w:trHeight w:val="318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5C2FEA" w:rsidRDefault="00535068" w:rsidP="005C2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проекта: </w:t>
            </w:r>
            <w:r w:rsidR="005C2FEA" w:rsidRPr="005C2FEA">
              <w:rPr>
                <w:rFonts w:ascii="Times New Roman" w:hAnsi="Times New Roman"/>
                <w:bCs/>
                <w:szCs w:val="28"/>
              </w:rPr>
              <w:t>Сетевая социально-профессиональная акция СФО "Студент - вожатый РДШ"</w:t>
            </w:r>
          </w:p>
        </w:tc>
      </w:tr>
      <w:tr w:rsidR="00535068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Вузы и учреждения СПО, принявшие участие в проекте</w:t>
            </w:r>
          </w:p>
          <w:p w:rsidR="00535068" w:rsidRPr="00297BEF" w:rsidRDefault="00535068" w:rsidP="005C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DC2775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5C2FE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068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 вузов и учреждений СПО, принявшие участие в проекте</w:t>
            </w:r>
          </w:p>
          <w:p w:rsidR="00535068" w:rsidRPr="00297BEF" w:rsidRDefault="00535068" w:rsidP="005C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297BEF" w:rsidRDefault="00535068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EA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>кция «Расскажи о РДШ" в рамках дня единых действий в Сибирском федеральном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2FEA" w:rsidRPr="0054534D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34D">
              <w:rPr>
                <w:rFonts w:ascii="Times New Roman" w:hAnsi="Times New Roman"/>
                <w:bCs/>
                <w:sz w:val="24"/>
                <w:szCs w:val="24"/>
              </w:rPr>
              <w:t>Не менее 100 студентов младших курсов захотят стать участниками этого проекта  в следующем сезоне</w:t>
            </w:r>
          </w:p>
          <w:p w:rsidR="005C2FEA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DC2775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C2FEA">
              <w:rPr>
                <w:rFonts w:ascii="Times New Roman" w:hAnsi="Times New Roman" w:cs="Times New Roman"/>
                <w:sz w:val="28"/>
                <w:szCs w:val="28"/>
              </w:rPr>
              <w:t xml:space="preserve">ел.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775" w:rsidRDefault="005C2FEA" w:rsidP="00DC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</w:p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EA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P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 </w:t>
            </w:r>
            <w:r w:rsidR="00DC2775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дополнительного профессионального образования с комплектом учебно-методических материалов, готовая для </w:t>
            </w:r>
            <w:proofErr w:type="gramStart"/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5C2FEA">
              <w:rPr>
                <w:rFonts w:ascii="Times New Roman" w:hAnsi="Times New Roman"/>
                <w:bCs/>
                <w:sz w:val="24"/>
                <w:szCs w:val="24"/>
              </w:rPr>
              <w:t xml:space="preserve"> как для обучения студентов, так и для повышения квалификации педагогов</w:t>
            </w:r>
          </w:p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1F70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EA" w:rsidRPr="009D6834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5C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проекте в СМИ </w:t>
            </w:r>
            <w:r w:rsidR="001F708E">
              <w:rPr>
                <w:rFonts w:ascii="Times New Roman" w:hAnsi="Times New Roman"/>
                <w:bCs/>
                <w:sz w:val="24"/>
                <w:szCs w:val="24"/>
              </w:rPr>
              <w:t>30 публикаций</w:t>
            </w:r>
          </w:p>
          <w:p w:rsidR="005C2FEA" w:rsidRDefault="005C2FEA" w:rsidP="005C2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1F708E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C2FE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1F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FEA" w:rsidRDefault="005C2FEA" w:rsidP="0067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068" w:rsidRDefault="00535068" w:rsidP="00535068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7CEC" w:rsidRDefault="00AD7CEC"/>
    <w:sectPr w:rsidR="00AD7CEC" w:rsidSect="005350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9F"/>
    <w:multiLevelType w:val="hybridMultilevel"/>
    <w:tmpl w:val="0068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3C95"/>
    <w:multiLevelType w:val="hybridMultilevel"/>
    <w:tmpl w:val="9D2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200"/>
    <w:multiLevelType w:val="hybridMultilevel"/>
    <w:tmpl w:val="918C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2677"/>
    <w:multiLevelType w:val="hybridMultilevel"/>
    <w:tmpl w:val="837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2B6F"/>
    <w:multiLevelType w:val="hybridMultilevel"/>
    <w:tmpl w:val="84F6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E2D82"/>
    <w:multiLevelType w:val="hybridMultilevel"/>
    <w:tmpl w:val="634C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56C60"/>
    <w:multiLevelType w:val="hybridMultilevel"/>
    <w:tmpl w:val="DF98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72A2C"/>
    <w:multiLevelType w:val="hybridMultilevel"/>
    <w:tmpl w:val="7458F4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961085"/>
    <w:multiLevelType w:val="hybridMultilevel"/>
    <w:tmpl w:val="6DAC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4483D"/>
    <w:multiLevelType w:val="hybridMultilevel"/>
    <w:tmpl w:val="CE9E0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1572FD"/>
    <w:multiLevelType w:val="hybridMultilevel"/>
    <w:tmpl w:val="3F52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5F"/>
    <w:rsid w:val="00005D5D"/>
    <w:rsid w:val="00024FA1"/>
    <w:rsid w:val="00036574"/>
    <w:rsid w:val="00061C2F"/>
    <w:rsid w:val="000749A9"/>
    <w:rsid w:val="00096C63"/>
    <w:rsid w:val="000E323E"/>
    <w:rsid w:val="00121C3F"/>
    <w:rsid w:val="00124602"/>
    <w:rsid w:val="001336F3"/>
    <w:rsid w:val="00172CA2"/>
    <w:rsid w:val="00182C7F"/>
    <w:rsid w:val="00191CA7"/>
    <w:rsid w:val="001D5D9C"/>
    <w:rsid w:val="001F708E"/>
    <w:rsid w:val="00240024"/>
    <w:rsid w:val="002A246C"/>
    <w:rsid w:val="002C498D"/>
    <w:rsid w:val="00356E5F"/>
    <w:rsid w:val="0036034A"/>
    <w:rsid w:val="003D0131"/>
    <w:rsid w:val="003F25E2"/>
    <w:rsid w:val="00406D2F"/>
    <w:rsid w:val="004130D6"/>
    <w:rsid w:val="004255CE"/>
    <w:rsid w:val="004672A7"/>
    <w:rsid w:val="004A7D2E"/>
    <w:rsid w:val="004C551A"/>
    <w:rsid w:val="004D1FD2"/>
    <w:rsid w:val="004F05B4"/>
    <w:rsid w:val="004F43E1"/>
    <w:rsid w:val="005061E9"/>
    <w:rsid w:val="00516E47"/>
    <w:rsid w:val="00535068"/>
    <w:rsid w:val="00540494"/>
    <w:rsid w:val="00541B69"/>
    <w:rsid w:val="0054534D"/>
    <w:rsid w:val="005465F4"/>
    <w:rsid w:val="00547F66"/>
    <w:rsid w:val="00587E68"/>
    <w:rsid w:val="00593BB9"/>
    <w:rsid w:val="005B2064"/>
    <w:rsid w:val="005C2FEA"/>
    <w:rsid w:val="005D5D32"/>
    <w:rsid w:val="005E0866"/>
    <w:rsid w:val="006723DE"/>
    <w:rsid w:val="006B785B"/>
    <w:rsid w:val="006B7AE2"/>
    <w:rsid w:val="006D4E39"/>
    <w:rsid w:val="006E1208"/>
    <w:rsid w:val="007769A2"/>
    <w:rsid w:val="007D23C9"/>
    <w:rsid w:val="008320A9"/>
    <w:rsid w:val="008445A6"/>
    <w:rsid w:val="00910C87"/>
    <w:rsid w:val="00913DFF"/>
    <w:rsid w:val="00986E45"/>
    <w:rsid w:val="009A7ADB"/>
    <w:rsid w:val="009E20FA"/>
    <w:rsid w:val="009F15CC"/>
    <w:rsid w:val="009F75D1"/>
    <w:rsid w:val="00A3700B"/>
    <w:rsid w:val="00A45778"/>
    <w:rsid w:val="00A62D57"/>
    <w:rsid w:val="00AD7CEC"/>
    <w:rsid w:val="00B062FB"/>
    <w:rsid w:val="00B11A61"/>
    <w:rsid w:val="00B473C7"/>
    <w:rsid w:val="00B57344"/>
    <w:rsid w:val="00B631DC"/>
    <w:rsid w:val="00B71C76"/>
    <w:rsid w:val="00BA780C"/>
    <w:rsid w:val="00BC3FE9"/>
    <w:rsid w:val="00BF3E32"/>
    <w:rsid w:val="00CC627E"/>
    <w:rsid w:val="00CF47C9"/>
    <w:rsid w:val="00CF739B"/>
    <w:rsid w:val="00D32FF5"/>
    <w:rsid w:val="00D91C14"/>
    <w:rsid w:val="00D954DD"/>
    <w:rsid w:val="00D95645"/>
    <w:rsid w:val="00DC2775"/>
    <w:rsid w:val="00DE2E8E"/>
    <w:rsid w:val="00DE4C02"/>
    <w:rsid w:val="00E233E0"/>
    <w:rsid w:val="00E4281B"/>
    <w:rsid w:val="00E433A3"/>
    <w:rsid w:val="00E74A81"/>
    <w:rsid w:val="00EE5983"/>
    <w:rsid w:val="00EF3E32"/>
    <w:rsid w:val="00F03DF8"/>
    <w:rsid w:val="00F32D71"/>
    <w:rsid w:val="00F46ACC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3">
    <w:name w:val="Нет"/>
    <w:rsid w:val="00535068"/>
  </w:style>
  <w:style w:type="paragraph" w:styleId="a4">
    <w:name w:val="List Paragraph"/>
    <w:basedOn w:val="a"/>
    <w:uiPriority w:val="34"/>
    <w:qFormat/>
    <w:rsid w:val="00535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17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3">
    <w:name w:val="Нет"/>
    <w:rsid w:val="00535068"/>
  </w:style>
  <w:style w:type="paragraph" w:styleId="a4">
    <w:name w:val="List Paragraph"/>
    <w:basedOn w:val="a"/>
    <w:uiPriority w:val="34"/>
    <w:qFormat/>
    <w:rsid w:val="00535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17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764E-40D2-4B72-9D3F-FAA24E76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Borisova</dc:creator>
  <cp:lastModifiedBy>User</cp:lastModifiedBy>
  <cp:revision>4</cp:revision>
  <cp:lastPrinted>2018-07-12T06:52:00Z</cp:lastPrinted>
  <dcterms:created xsi:type="dcterms:W3CDTF">2018-07-13T10:42:00Z</dcterms:created>
  <dcterms:modified xsi:type="dcterms:W3CDTF">2019-02-11T05:19:00Z</dcterms:modified>
</cp:coreProperties>
</file>